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16" w:rsidRPr="0036642A" w:rsidRDefault="007C6D5D">
      <w:pPr>
        <w:suppressAutoHyphens w:val="0"/>
        <w:autoSpaceDE w:val="0"/>
        <w:spacing w:line="440" w:lineRule="exact"/>
        <w:jc w:val="center"/>
        <w:textAlignment w:val="auto"/>
        <w:rPr>
          <w:rFonts w:eastAsia="標楷體"/>
          <w:kern w:val="0"/>
          <w:sz w:val="36"/>
          <w:szCs w:val="36"/>
        </w:rPr>
      </w:pPr>
      <w:bookmarkStart w:id="0" w:name="_Hlk73976326"/>
      <w:r w:rsidRPr="0036642A">
        <w:rPr>
          <w:rFonts w:eastAsia="標楷體" w:hint="eastAsia"/>
          <w:kern w:val="0"/>
          <w:sz w:val="36"/>
          <w:szCs w:val="36"/>
        </w:rPr>
        <w:t>國立東華大學</w:t>
      </w:r>
      <w:bookmarkStart w:id="1" w:name="_GoBack"/>
      <w:bookmarkEnd w:id="1"/>
      <w:r w:rsidR="0091580B" w:rsidRPr="0036642A">
        <w:rPr>
          <w:rFonts w:eastAsia="標楷體"/>
          <w:kern w:val="0"/>
          <w:sz w:val="36"/>
          <w:szCs w:val="36"/>
        </w:rPr>
        <w:t>○○○</w:t>
      </w:r>
      <w:r w:rsidR="0091580B" w:rsidRPr="0036642A">
        <w:rPr>
          <w:rFonts w:eastAsia="標楷體"/>
          <w:kern w:val="0"/>
          <w:sz w:val="36"/>
          <w:szCs w:val="36"/>
        </w:rPr>
        <w:t>年風險評估及處理彙總表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788"/>
        <w:gridCol w:w="1643"/>
        <w:gridCol w:w="1425"/>
        <w:gridCol w:w="1741"/>
        <w:gridCol w:w="777"/>
        <w:gridCol w:w="782"/>
        <w:gridCol w:w="938"/>
        <w:gridCol w:w="1853"/>
        <w:gridCol w:w="837"/>
        <w:gridCol w:w="732"/>
        <w:gridCol w:w="1067"/>
        <w:gridCol w:w="950"/>
      </w:tblGrid>
      <w:tr w:rsidR="00DF1216" w:rsidRPr="0036642A" w:rsidTr="00C320CE">
        <w:trPr>
          <w:trHeight w:val="577"/>
          <w:tblHeader/>
          <w:jc w:val="center"/>
        </w:trPr>
        <w:tc>
          <w:tcPr>
            <w:tcW w:w="297" w:type="pct"/>
            <w:vMerge w:val="restart"/>
            <w:tcBorders>
              <w:bottom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年度校務目標</w:t>
            </w:r>
          </w:p>
        </w:tc>
        <w:tc>
          <w:tcPr>
            <w:tcW w:w="286" w:type="pct"/>
            <w:vMerge w:val="restart"/>
            <w:tcBorders>
              <w:bottom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重要計畫項目</w:t>
            </w:r>
          </w:p>
        </w:tc>
        <w:tc>
          <w:tcPr>
            <w:tcW w:w="584" w:type="pct"/>
            <w:vMerge w:val="restart"/>
            <w:tcBorders>
              <w:bottom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風險</w:t>
            </w:r>
            <w:r w:rsidRPr="0036642A">
              <w:rPr>
                <w:rFonts w:eastAsia="標楷體"/>
                <w:kern w:val="2"/>
              </w:rPr>
              <w:t>項目</w:t>
            </w:r>
          </w:p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(</w:t>
            </w:r>
            <w:r w:rsidRPr="0036642A">
              <w:rPr>
                <w:rFonts w:eastAsia="標楷體" w:hint="eastAsia"/>
                <w:kern w:val="2"/>
              </w:rPr>
              <w:t>含代號</w:t>
            </w:r>
            <w:r w:rsidRPr="0036642A">
              <w:rPr>
                <w:rFonts w:eastAsia="標楷體" w:hint="eastAsia"/>
                <w:b/>
                <w:kern w:val="2"/>
              </w:rPr>
              <w:t>)</w:t>
            </w:r>
          </w:p>
        </w:tc>
        <w:tc>
          <w:tcPr>
            <w:tcW w:w="508" w:type="pct"/>
            <w:vMerge w:val="restart"/>
            <w:tcBorders>
              <w:bottom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風險情境</w:t>
            </w:r>
          </w:p>
        </w:tc>
        <w:tc>
          <w:tcPr>
            <w:tcW w:w="618" w:type="pct"/>
            <w:vMerge w:val="restart"/>
            <w:tcBorders>
              <w:bottom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現有風險對策</w:t>
            </w:r>
          </w:p>
        </w:tc>
        <w:tc>
          <w:tcPr>
            <w:tcW w:w="566" w:type="pct"/>
            <w:gridSpan w:val="2"/>
            <w:tcBorders>
              <w:bottom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現有風險等級</w:t>
            </w:r>
          </w:p>
        </w:tc>
        <w:tc>
          <w:tcPr>
            <w:tcW w:w="189" w:type="pct"/>
            <w:vMerge w:val="restart"/>
            <w:tcBorders>
              <w:bottom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現有風險值</w:t>
            </w:r>
            <w:r w:rsidRPr="0036642A">
              <w:rPr>
                <w:rFonts w:eastAsia="標楷體" w:hint="eastAsia"/>
                <w:kern w:val="2"/>
              </w:rPr>
              <w:t>(</w:t>
            </w:r>
            <w:r w:rsidRPr="0036642A">
              <w:rPr>
                <w:rFonts w:eastAsia="標楷體"/>
                <w:kern w:val="2"/>
              </w:rPr>
              <w:t>R)=(L)* (I)</w:t>
            </w:r>
          </w:p>
        </w:tc>
        <w:tc>
          <w:tcPr>
            <w:tcW w:w="657" w:type="pct"/>
            <w:vMerge w:val="restart"/>
            <w:tcBorders>
              <w:bottom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新增風險對策</w:t>
            </w:r>
          </w:p>
        </w:tc>
        <w:tc>
          <w:tcPr>
            <w:tcW w:w="569" w:type="pct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殘餘風險等級</w:t>
            </w:r>
          </w:p>
        </w:tc>
        <w:tc>
          <w:tcPr>
            <w:tcW w:w="383" w:type="pct"/>
            <w:vMerge w:val="restart"/>
            <w:tcBorders>
              <w:bottom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殘餘風險值</w:t>
            </w:r>
            <w:r w:rsidRPr="0036642A">
              <w:rPr>
                <w:rFonts w:eastAsia="標楷體" w:hint="eastAsia"/>
                <w:kern w:val="2"/>
              </w:rPr>
              <w:t>(</w:t>
            </w:r>
            <w:r w:rsidRPr="0036642A">
              <w:rPr>
                <w:rFonts w:eastAsia="標楷體"/>
                <w:kern w:val="2"/>
              </w:rPr>
              <w:t>R)=(L)* (I)</w:t>
            </w:r>
          </w:p>
        </w:tc>
        <w:tc>
          <w:tcPr>
            <w:tcW w:w="342" w:type="pct"/>
            <w:vMerge w:val="restart"/>
            <w:tcBorders>
              <w:bottom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主辦單位</w:t>
            </w:r>
            <w:r w:rsidRPr="0036642A">
              <w:rPr>
                <w:rFonts w:eastAsia="標楷體" w:hint="eastAsia"/>
                <w:kern w:val="2"/>
              </w:rPr>
              <w:t>/</w:t>
            </w:r>
            <w:r w:rsidRPr="0036642A">
              <w:rPr>
                <w:rFonts w:eastAsia="標楷體" w:hint="eastAsia"/>
                <w:kern w:val="2"/>
              </w:rPr>
              <w:t>對應本期內部控制項目</w:t>
            </w:r>
          </w:p>
        </w:tc>
      </w:tr>
      <w:tr w:rsidR="00DF1216" w:rsidRPr="0036642A" w:rsidTr="00C320CE">
        <w:trPr>
          <w:trHeight w:val="1018"/>
          <w:tblHeader/>
          <w:jc w:val="center"/>
        </w:trPr>
        <w:tc>
          <w:tcPr>
            <w:tcW w:w="297" w:type="pct"/>
            <w:vMerge/>
            <w:tcBorders>
              <w:top w:val="nil"/>
            </w:tcBorders>
            <w:shd w:val="clear" w:color="auto" w:fill="DEEAF6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color w:val="FF0000"/>
                <w:kern w:val="2"/>
              </w:rPr>
            </w:pPr>
          </w:p>
        </w:tc>
        <w:tc>
          <w:tcPr>
            <w:tcW w:w="286" w:type="pct"/>
            <w:vMerge/>
            <w:tcBorders>
              <w:top w:val="nil"/>
            </w:tcBorders>
            <w:shd w:val="clear" w:color="auto" w:fill="DEEAF6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color w:val="FF0000"/>
                <w:kern w:val="2"/>
              </w:rPr>
            </w:pPr>
          </w:p>
        </w:tc>
        <w:tc>
          <w:tcPr>
            <w:tcW w:w="584" w:type="pct"/>
            <w:vMerge/>
            <w:tcBorders>
              <w:top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color w:val="FF0000"/>
                <w:kern w:val="2"/>
              </w:rPr>
            </w:pPr>
          </w:p>
        </w:tc>
        <w:tc>
          <w:tcPr>
            <w:tcW w:w="508" w:type="pct"/>
            <w:vMerge/>
            <w:tcBorders>
              <w:top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color w:val="FF0000"/>
                <w:kern w:val="2"/>
              </w:rPr>
            </w:pPr>
          </w:p>
        </w:tc>
        <w:tc>
          <w:tcPr>
            <w:tcW w:w="618" w:type="pct"/>
            <w:vMerge/>
            <w:tcBorders>
              <w:top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color w:val="FF0000"/>
                <w:kern w:val="2"/>
              </w:rPr>
            </w:pPr>
          </w:p>
        </w:tc>
        <w:tc>
          <w:tcPr>
            <w:tcW w:w="282" w:type="pct"/>
            <w:tcBorders>
              <w:top w:val="single" w:sz="4" w:space="0" w:color="000000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可能性</w:t>
            </w:r>
            <w:r w:rsidRPr="0036642A">
              <w:rPr>
                <w:rFonts w:eastAsia="標楷體" w:hint="eastAsia"/>
                <w:kern w:val="2"/>
              </w:rPr>
              <w:t>(L)</w:t>
            </w:r>
          </w:p>
        </w:tc>
        <w:tc>
          <w:tcPr>
            <w:tcW w:w="284" w:type="pct"/>
            <w:tcBorders>
              <w:top w:val="single" w:sz="4" w:space="0" w:color="000000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影響程度</w:t>
            </w:r>
            <w:r w:rsidRPr="0036642A">
              <w:rPr>
                <w:rFonts w:eastAsia="標楷體" w:hint="eastAsia"/>
                <w:kern w:val="2"/>
              </w:rPr>
              <w:t>(I)</w:t>
            </w:r>
          </w:p>
        </w:tc>
        <w:tc>
          <w:tcPr>
            <w:tcW w:w="189" w:type="pct"/>
            <w:vMerge/>
            <w:tcBorders>
              <w:top w:val="nil"/>
            </w:tcBorders>
            <w:shd w:val="clear" w:color="auto" w:fill="E6E6E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shd w:val="clear" w:color="auto" w:fill="DEEAF6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303" w:type="pct"/>
            <w:tcBorders>
              <w:top w:val="single" w:sz="4" w:space="0" w:color="000000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可能性</w:t>
            </w:r>
            <w:r w:rsidRPr="0036642A">
              <w:rPr>
                <w:rFonts w:eastAsia="標楷體" w:hint="eastAsia"/>
                <w:kern w:val="2"/>
              </w:rPr>
              <w:t>(L)</w:t>
            </w:r>
          </w:p>
        </w:tc>
        <w:tc>
          <w:tcPr>
            <w:tcW w:w="266" w:type="pct"/>
            <w:tcBorders>
              <w:top w:val="single" w:sz="4" w:space="0" w:color="000000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  <w:r w:rsidRPr="0036642A">
              <w:rPr>
                <w:rFonts w:eastAsia="標楷體" w:hint="eastAsia"/>
                <w:kern w:val="2"/>
              </w:rPr>
              <w:t>影響程度</w:t>
            </w:r>
            <w:r w:rsidRPr="0036642A">
              <w:rPr>
                <w:rFonts w:eastAsia="標楷體" w:hint="eastAsia"/>
                <w:kern w:val="2"/>
              </w:rPr>
              <w:t>(I)</w:t>
            </w:r>
          </w:p>
        </w:tc>
        <w:tc>
          <w:tcPr>
            <w:tcW w:w="383" w:type="pct"/>
            <w:vMerge/>
            <w:tcBorders>
              <w:top w:val="nil"/>
            </w:tcBorders>
            <w:shd w:val="clear" w:color="auto" w:fill="E6E6E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342" w:type="pct"/>
            <w:vMerge/>
            <w:tcBorders>
              <w:top w:val="nil"/>
            </w:tcBorders>
            <w:shd w:val="clear" w:color="auto" w:fill="DEEAF6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DF1216" w:rsidRPr="0036642A" w:rsidTr="00DF1216">
        <w:trPr>
          <w:trHeight w:val="1477"/>
          <w:jc w:val="center"/>
        </w:trPr>
        <w:tc>
          <w:tcPr>
            <w:tcW w:w="297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86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84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8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ind w:left="240" w:hangingChars="100" w:hanging="24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18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ind w:left="240" w:hangingChars="100" w:hanging="24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82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84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9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textAlignment w:val="auto"/>
              <w:outlineLvl w:val="0"/>
              <w:rPr>
                <w:rFonts w:eastAsia="標楷體"/>
                <w:snapToGrid w:val="0"/>
                <w:kern w:val="0"/>
                <w:lang w:eastAsia="x-none"/>
              </w:rPr>
            </w:pPr>
          </w:p>
        </w:tc>
        <w:tc>
          <w:tcPr>
            <w:tcW w:w="303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6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3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42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textAlignment w:val="auto"/>
              <w:rPr>
                <w:rFonts w:eastAsia="標楷體"/>
                <w:b/>
                <w:snapToGrid w:val="0"/>
                <w:color w:val="FF0000"/>
                <w:kern w:val="0"/>
              </w:rPr>
            </w:pPr>
          </w:p>
        </w:tc>
      </w:tr>
      <w:tr w:rsidR="00DF1216" w:rsidRPr="0036642A" w:rsidTr="00DF1216">
        <w:trPr>
          <w:trHeight w:val="2534"/>
          <w:jc w:val="center"/>
        </w:trPr>
        <w:tc>
          <w:tcPr>
            <w:tcW w:w="297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86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84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8" w:type="pct"/>
          </w:tcPr>
          <w:p w:rsidR="00DF1216" w:rsidRPr="0036642A" w:rsidRDefault="00DF1216" w:rsidP="00DF121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618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ind w:left="240" w:hangingChars="100" w:hanging="24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82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84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9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03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6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3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42" w:type="pct"/>
            <w:vAlign w:val="center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textAlignment w:val="auto"/>
              <w:outlineLvl w:val="0"/>
              <w:rPr>
                <w:rFonts w:eastAsia="標楷體"/>
                <w:b/>
                <w:snapToGrid w:val="0"/>
                <w:kern w:val="0"/>
                <w:lang w:val="x-none" w:eastAsia="x-none"/>
              </w:rPr>
            </w:pPr>
          </w:p>
        </w:tc>
      </w:tr>
      <w:tr w:rsidR="00DF1216" w:rsidRPr="0036642A" w:rsidTr="00DF1216">
        <w:trPr>
          <w:trHeight w:val="2534"/>
          <w:jc w:val="center"/>
        </w:trPr>
        <w:tc>
          <w:tcPr>
            <w:tcW w:w="297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86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84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8" w:type="pct"/>
          </w:tcPr>
          <w:p w:rsidR="00DF1216" w:rsidRPr="0036642A" w:rsidRDefault="00DF1216" w:rsidP="00DF121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618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ind w:left="240" w:hangingChars="100" w:hanging="240"/>
              <w:jc w:val="both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82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84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9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03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6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3" w:type="pct"/>
            <w:vAlign w:val="center"/>
          </w:tcPr>
          <w:p w:rsidR="00DF1216" w:rsidRPr="0036642A" w:rsidRDefault="00DF1216" w:rsidP="00DF1216">
            <w:pPr>
              <w:suppressAutoHyphens w:val="0"/>
              <w:autoSpaceDN/>
              <w:adjustRightInd w:val="0"/>
              <w:jc w:val="center"/>
              <w:textAlignment w:val="auto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42" w:type="pct"/>
            <w:vAlign w:val="center"/>
          </w:tcPr>
          <w:p w:rsidR="00DF1216" w:rsidRPr="0036642A" w:rsidRDefault="00DF1216" w:rsidP="00DF1216">
            <w:pPr>
              <w:suppressAutoHyphens w:val="0"/>
              <w:kinsoku w:val="0"/>
              <w:overflowPunct w:val="0"/>
              <w:autoSpaceDE w:val="0"/>
              <w:adjustRightInd w:val="0"/>
              <w:textAlignment w:val="auto"/>
              <w:outlineLvl w:val="0"/>
              <w:rPr>
                <w:rFonts w:eastAsia="標楷體"/>
                <w:b/>
                <w:snapToGrid w:val="0"/>
                <w:kern w:val="0"/>
                <w:lang w:val="x-none" w:eastAsia="x-none"/>
              </w:rPr>
            </w:pPr>
          </w:p>
        </w:tc>
      </w:tr>
      <w:bookmarkEnd w:id="0"/>
    </w:tbl>
    <w:p w:rsidR="00DF1216" w:rsidRPr="0036642A" w:rsidRDefault="00DF1216">
      <w:pPr>
        <w:suppressAutoHyphens w:val="0"/>
        <w:autoSpaceDE w:val="0"/>
        <w:spacing w:line="440" w:lineRule="exact"/>
        <w:jc w:val="center"/>
        <w:textAlignment w:val="auto"/>
      </w:pPr>
    </w:p>
    <w:sectPr w:rsidR="00DF1216" w:rsidRPr="0036642A">
      <w:footerReference w:type="default" r:id="rId8"/>
      <w:pgSz w:w="16838" w:h="11906" w:orient="landscape"/>
      <w:pgMar w:top="1134" w:right="1134" w:bottom="1134" w:left="1134" w:header="720" w:footer="720" w:gutter="0"/>
      <w:cols w:space="720"/>
      <w:docGrid w:type="lines" w:linePitch="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2C" w:rsidRDefault="00F61D2C">
      <w:r>
        <w:separator/>
      </w:r>
    </w:p>
  </w:endnote>
  <w:endnote w:type="continuationSeparator" w:id="0">
    <w:p w:rsidR="00F61D2C" w:rsidRDefault="00F6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F6" w:rsidRDefault="000A62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2C" w:rsidRDefault="00F61D2C">
      <w:r>
        <w:rPr>
          <w:color w:val="000000"/>
        </w:rPr>
        <w:separator/>
      </w:r>
    </w:p>
  </w:footnote>
  <w:footnote w:type="continuationSeparator" w:id="0">
    <w:p w:rsidR="00F61D2C" w:rsidRDefault="00F6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7C67"/>
    <w:multiLevelType w:val="multilevel"/>
    <w:tmpl w:val="BA0048DC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  <w:lang w:val="en-US"/>
      </w:rPr>
    </w:lvl>
    <w:lvl w:ilvl="1">
      <w:start w:val="1"/>
      <w:numFmt w:val="taiwaneseCountingThousand"/>
      <w:lvlText w:val="（%2）"/>
      <w:lvlJc w:val="left"/>
      <w:pPr>
        <w:ind w:left="1335" w:hanging="85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81103"/>
    <w:multiLevelType w:val="multilevel"/>
    <w:tmpl w:val="8B8AC71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85A14"/>
    <w:multiLevelType w:val="multilevel"/>
    <w:tmpl w:val="16C29022"/>
    <w:lvl w:ilvl="0">
      <w:start w:val="1"/>
      <w:numFmt w:val="taiwaneseCountingThousand"/>
      <w:suff w:val="space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74725"/>
    <w:multiLevelType w:val="multilevel"/>
    <w:tmpl w:val="3B801176"/>
    <w:lvl w:ilvl="0">
      <w:start w:val="1"/>
      <w:numFmt w:val="taiwaneseCountingThousand"/>
      <w:suff w:val="space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61B9B"/>
    <w:multiLevelType w:val="multilevel"/>
    <w:tmpl w:val="03C06038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DC390D"/>
    <w:multiLevelType w:val="multilevel"/>
    <w:tmpl w:val="C002974A"/>
    <w:lvl w:ilvl="0">
      <w:start w:val="2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04E5D"/>
    <w:multiLevelType w:val="multilevel"/>
    <w:tmpl w:val="3D24DEF2"/>
    <w:lvl w:ilvl="0">
      <w:start w:val="1"/>
      <w:numFmt w:val="taiwaneseCountingThousand"/>
      <w:suff w:val="space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9630C9"/>
    <w:multiLevelType w:val="multilevel"/>
    <w:tmpl w:val="8A5082AC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2B5C42"/>
    <w:multiLevelType w:val="multilevel"/>
    <w:tmpl w:val="3EC220E0"/>
    <w:lvl w:ilvl="0">
      <w:start w:val="1"/>
      <w:numFmt w:val="decimal"/>
      <w:suff w:val="nothing"/>
      <w:lvlText w:val="%1."/>
      <w:lvlJc w:val="left"/>
      <w:pPr>
        <w:ind w:left="3174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88788D"/>
    <w:multiLevelType w:val="multilevel"/>
    <w:tmpl w:val="28F0DBDA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C29E3"/>
    <w:multiLevelType w:val="multilevel"/>
    <w:tmpl w:val="3D24DEF2"/>
    <w:lvl w:ilvl="0">
      <w:start w:val="1"/>
      <w:numFmt w:val="taiwaneseCountingThousand"/>
      <w:suff w:val="space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33112"/>
    <w:multiLevelType w:val="multilevel"/>
    <w:tmpl w:val="78D402B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BC449E3"/>
    <w:multiLevelType w:val="multilevel"/>
    <w:tmpl w:val="03C06038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28189D"/>
    <w:multiLevelType w:val="multilevel"/>
    <w:tmpl w:val="CBBC848A"/>
    <w:lvl w:ilvl="0">
      <w:start w:val="1"/>
      <w:numFmt w:val="taiwaneseCountingThousand"/>
      <w:lvlText w:val="（%1）"/>
      <w:lvlJc w:val="left"/>
      <w:pPr>
        <w:ind w:left="1180" w:hanging="864"/>
      </w:pPr>
    </w:lvl>
    <w:lvl w:ilvl="1">
      <w:start w:val="1"/>
      <w:numFmt w:val="ideographTraditional"/>
      <w:lvlText w:val="%2、"/>
      <w:lvlJc w:val="left"/>
      <w:pPr>
        <w:ind w:left="1276" w:hanging="480"/>
      </w:pPr>
    </w:lvl>
    <w:lvl w:ilvl="2">
      <w:start w:val="1"/>
      <w:numFmt w:val="lowerRoman"/>
      <w:lvlText w:val="%3."/>
      <w:lvlJc w:val="right"/>
      <w:pPr>
        <w:ind w:left="1756" w:hanging="480"/>
      </w:pPr>
    </w:lvl>
    <w:lvl w:ilvl="3">
      <w:start w:val="1"/>
      <w:numFmt w:val="decimal"/>
      <w:lvlText w:val="%4."/>
      <w:lvlJc w:val="left"/>
      <w:pPr>
        <w:ind w:left="2236" w:hanging="480"/>
      </w:pPr>
    </w:lvl>
    <w:lvl w:ilvl="4">
      <w:start w:val="1"/>
      <w:numFmt w:val="ideographTraditional"/>
      <w:lvlText w:val="%5、"/>
      <w:lvlJc w:val="left"/>
      <w:pPr>
        <w:ind w:left="2716" w:hanging="480"/>
      </w:pPr>
    </w:lvl>
    <w:lvl w:ilvl="5">
      <w:start w:val="1"/>
      <w:numFmt w:val="lowerRoman"/>
      <w:lvlText w:val="%6."/>
      <w:lvlJc w:val="right"/>
      <w:pPr>
        <w:ind w:left="3196" w:hanging="480"/>
      </w:pPr>
    </w:lvl>
    <w:lvl w:ilvl="6">
      <w:start w:val="1"/>
      <w:numFmt w:val="decimal"/>
      <w:lvlText w:val="%7."/>
      <w:lvlJc w:val="left"/>
      <w:pPr>
        <w:ind w:left="3676" w:hanging="480"/>
      </w:pPr>
    </w:lvl>
    <w:lvl w:ilvl="7">
      <w:start w:val="1"/>
      <w:numFmt w:val="ideographTraditional"/>
      <w:lvlText w:val="%8、"/>
      <w:lvlJc w:val="left"/>
      <w:pPr>
        <w:ind w:left="4156" w:hanging="480"/>
      </w:pPr>
    </w:lvl>
    <w:lvl w:ilvl="8">
      <w:start w:val="1"/>
      <w:numFmt w:val="lowerRoman"/>
      <w:lvlText w:val="%9."/>
      <w:lvlJc w:val="right"/>
      <w:pPr>
        <w:ind w:left="4636" w:hanging="480"/>
      </w:pPr>
    </w:lvl>
  </w:abstractNum>
  <w:abstractNum w:abstractNumId="14" w15:restartNumberingAfterBreak="0">
    <w:nsid w:val="2F6A1FA9"/>
    <w:multiLevelType w:val="multilevel"/>
    <w:tmpl w:val="A1E42A78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0F5B43"/>
    <w:multiLevelType w:val="multilevel"/>
    <w:tmpl w:val="B64894A8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1DD1EA5"/>
    <w:multiLevelType w:val="multilevel"/>
    <w:tmpl w:val="C322693A"/>
    <w:lvl w:ilvl="0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/>
        <w:b w:val="0"/>
        <w:bCs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3267BAB"/>
    <w:multiLevelType w:val="multilevel"/>
    <w:tmpl w:val="417A59D6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EC565C"/>
    <w:multiLevelType w:val="multilevel"/>
    <w:tmpl w:val="A29CB1FC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1A1921"/>
    <w:multiLevelType w:val="multilevel"/>
    <w:tmpl w:val="61080232"/>
    <w:lvl w:ilvl="0">
      <w:start w:val="1"/>
      <w:numFmt w:val="decimal"/>
      <w:suff w:val="nothing"/>
      <w:lvlText w:val="%1."/>
      <w:lvlJc w:val="left"/>
      <w:pPr>
        <w:ind w:left="3316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AF6513"/>
    <w:multiLevelType w:val="multilevel"/>
    <w:tmpl w:val="C168333A"/>
    <w:lvl w:ilvl="0">
      <w:start w:val="1"/>
      <w:numFmt w:val="taiwaneseCountingThousand"/>
      <w:suff w:val="space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E27B27"/>
    <w:multiLevelType w:val="multilevel"/>
    <w:tmpl w:val="A6627864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48D30390"/>
    <w:multiLevelType w:val="multilevel"/>
    <w:tmpl w:val="95E05064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BD2902"/>
    <w:multiLevelType w:val="multilevel"/>
    <w:tmpl w:val="DFBCEA76"/>
    <w:lvl w:ilvl="0">
      <w:start w:val="1"/>
      <w:numFmt w:val="taiwaneseCountingThousand"/>
      <w:suff w:val="nothing"/>
      <w:lvlText w:val="%1、"/>
      <w:lvlJc w:val="left"/>
      <w:pPr>
        <w:ind w:left="478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785751"/>
    <w:multiLevelType w:val="multilevel"/>
    <w:tmpl w:val="0434B8C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6B76D1"/>
    <w:multiLevelType w:val="multilevel"/>
    <w:tmpl w:val="03C06038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6C5E42"/>
    <w:multiLevelType w:val="multilevel"/>
    <w:tmpl w:val="03C06038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D97A47"/>
    <w:multiLevelType w:val="multilevel"/>
    <w:tmpl w:val="6D5CDBD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46CF8"/>
    <w:multiLevelType w:val="multilevel"/>
    <w:tmpl w:val="6108023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635F0D"/>
    <w:multiLevelType w:val="multilevel"/>
    <w:tmpl w:val="8B8AC71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AF317C"/>
    <w:multiLevelType w:val="multilevel"/>
    <w:tmpl w:val="31B0B946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4F7C53"/>
    <w:multiLevelType w:val="multilevel"/>
    <w:tmpl w:val="409E50F4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7AA0207E"/>
    <w:multiLevelType w:val="multilevel"/>
    <w:tmpl w:val="938269D4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b w:val="0"/>
        <w:bCs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8C43CB"/>
    <w:multiLevelType w:val="hybridMultilevel"/>
    <w:tmpl w:val="F95E19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72089"/>
    <w:multiLevelType w:val="multilevel"/>
    <w:tmpl w:val="03C06038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8"/>
  </w:num>
  <w:num w:numId="6">
    <w:abstractNumId w:val="29"/>
  </w:num>
  <w:num w:numId="7">
    <w:abstractNumId w:val="25"/>
  </w:num>
  <w:num w:numId="8">
    <w:abstractNumId w:val="30"/>
  </w:num>
  <w:num w:numId="9">
    <w:abstractNumId w:val="28"/>
  </w:num>
  <w:num w:numId="10">
    <w:abstractNumId w:val="17"/>
  </w:num>
  <w:num w:numId="11">
    <w:abstractNumId w:val="18"/>
  </w:num>
  <w:num w:numId="12">
    <w:abstractNumId w:val="2"/>
  </w:num>
  <w:num w:numId="13">
    <w:abstractNumId w:val="7"/>
  </w:num>
  <w:num w:numId="14">
    <w:abstractNumId w:val="21"/>
  </w:num>
  <w:num w:numId="15">
    <w:abstractNumId w:val="9"/>
  </w:num>
  <w:num w:numId="16">
    <w:abstractNumId w:val="27"/>
  </w:num>
  <w:num w:numId="17">
    <w:abstractNumId w:val="32"/>
  </w:num>
  <w:num w:numId="18">
    <w:abstractNumId w:val="16"/>
  </w:num>
  <w:num w:numId="19">
    <w:abstractNumId w:val="11"/>
  </w:num>
  <w:num w:numId="20">
    <w:abstractNumId w:val="15"/>
  </w:num>
  <w:num w:numId="21">
    <w:abstractNumId w:val="22"/>
  </w:num>
  <w:num w:numId="22">
    <w:abstractNumId w:val="23"/>
  </w:num>
  <w:num w:numId="23">
    <w:abstractNumId w:val="13"/>
  </w:num>
  <w:num w:numId="24">
    <w:abstractNumId w:val="5"/>
  </w:num>
  <w:num w:numId="25">
    <w:abstractNumId w:val="14"/>
  </w:num>
  <w:num w:numId="26">
    <w:abstractNumId w:val="24"/>
  </w:num>
  <w:num w:numId="27">
    <w:abstractNumId w:val="33"/>
  </w:num>
  <w:num w:numId="28">
    <w:abstractNumId w:val="4"/>
  </w:num>
  <w:num w:numId="29">
    <w:abstractNumId w:val="26"/>
  </w:num>
  <w:num w:numId="30">
    <w:abstractNumId w:val="12"/>
  </w:num>
  <w:num w:numId="31">
    <w:abstractNumId w:val="31"/>
  </w:num>
  <w:num w:numId="32">
    <w:abstractNumId w:val="34"/>
  </w:num>
  <w:num w:numId="33">
    <w:abstractNumId w:val="6"/>
  </w:num>
  <w:num w:numId="34">
    <w:abstractNumId w:val="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16"/>
    <w:rsid w:val="00086592"/>
    <w:rsid w:val="000A3D5C"/>
    <w:rsid w:val="000A62F6"/>
    <w:rsid w:val="000B036F"/>
    <w:rsid w:val="000B06E3"/>
    <w:rsid w:val="000C0D80"/>
    <w:rsid w:val="000C1850"/>
    <w:rsid w:val="000F7926"/>
    <w:rsid w:val="00116F14"/>
    <w:rsid w:val="00133BA1"/>
    <w:rsid w:val="00152401"/>
    <w:rsid w:val="00155F08"/>
    <w:rsid w:val="00165680"/>
    <w:rsid w:val="001663A0"/>
    <w:rsid w:val="00191DCA"/>
    <w:rsid w:val="0019392A"/>
    <w:rsid w:val="001A08B7"/>
    <w:rsid w:val="001C7727"/>
    <w:rsid w:val="00205F19"/>
    <w:rsid w:val="0022615B"/>
    <w:rsid w:val="002426D5"/>
    <w:rsid w:val="002477D7"/>
    <w:rsid w:val="002D42F7"/>
    <w:rsid w:val="002D7F0E"/>
    <w:rsid w:val="002E3612"/>
    <w:rsid w:val="002F6BEF"/>
    <w:rsid w:val="0030646F"/>
    <w:rsid w:val="0036642A"/>
    <w:rsid w:val="003962EA"/>
    <w:rsid w:val="003A3752"/>
    <w:rsid w:val="003B45D1"/>
    <w:rsid w:val="00403F1F"/>
    <w:rsid w:val="00453798"/>
    <w:rsid w:val="00485B6B"/>
    <w:rsid w:val="00493FBD"/>
    <w:rsid w:val="004B6654"/>
    <w:rsid w:val="004C6304"/>
    <w:rsid w:val="00501A03"/>
    <w:rsid w:val="00515D93"/>
    <w:rsid w:val="005375A4"/>
    <w:rsid w:val="00565BE6"/>
    <w:rsid w:val="00582564"/>
    <w:rsid w:val="00587673"/>
    <w:rsid w:val="005E05A5"/>
    <w:rsid w:val="00622ABE"/>
    <w:rsid w:val="00622C58"/>
    <w:rsid w:val="006345D2"/>
    <w:rsid w:val="00644DBE"/>
    <w:rsid w:val="00674135"/>
    <w:rsid w:val="0068672A"/>
    <w:rsid w:val="00687BFC"/>
    <w:rsid w:val="006B79AE"/>
    <w:rsid w:val="006C50D9"/>
    <w:rsid w:val="006D7117"/>
    <w:rsid w:val="006E68D3"/>
    <w:rsid w:val="00717AA3"/>
    <w:rsid w:val="007526D9"/>
    <w:rsid w:val="00753524"/>
    <w:rsid w:val="00754E76"/>
    <w:rsid w:val="00755667"/>
    <w:rsid w:val="00783F61"/>
    <w:rsid w:val="007A76D4"/>
    <w:rsid w:val="007C10AF"/>
    <w:rsid w:val="007C575D"/>
    <w:rsid w:val="007C6D5D"/>
    <w:rsid w:val="007D1796"/>
    <w:rsid w:val="007E6838"/>
    <w:rsid w:val="00813C61"/>
    <w:rsid w:val="00887762"/>
    <w:rsid w:val="008A3D48"/>
    <w:rsid w:val="009138BE"/>
    <w:rsid w:val="0091580B"/>
    <w:rsid w:val="009666D7"/>
    <w:rsid w:val="00990457"/>
    <w:rsid w:val="009D6C5C"/>
    <w:rsid w:val="00A1346E"/>
    <w:rsid w:val="00A32928"/>
    <w:rsid w:val="00AC0A04"/>
    <w:rsid w:val="00AC2E0A"/>
    <w:rsid w:val="00AC455D"/>
    <w:rsid w:val="00AD3BE1"/>
    <w:rsid w:val="00BA1D85"/>
    <w:rsid w:val="00BA5D8F"/>
    <w:rsid w:val="00BC10D2"/>
    <w:rsid w:val="00BD398D"/>
    <w:rsid w:val="00BF1267"/>
    <w:rsid w:val="00BF297A"/>
    <w:rsid w:val="00BF2D22"/>
    <w:rsid w:val="00C062D0"/>
    <w:rsid w:val="00C64316"/>
    <w:rsid w:val="00C66F9A"/>
    <w:rsid w:val="00C8200C"/>
    <w:rsid w:val="00CB2AC1"/>
    <w:rsid w:val="00CF1080"/>
    <w:rsid w:val="00D177E3"/>
    <w:rsid w:val="00D27CC2"/>
    <w:rsid w:val="00D31959"/>
    <w:rsid w:val="00D44A0B"/>
    <w:rsid w:val="00D9648C"/>
    <w:rsid w:val="00DC07BB"/>
    <w:rsid w:val="00DF1216"/>
    <w:rsid w:val="00DF513F"/>
    <w:rsid w:val="00E40AC1"/>
    <w:rsid w:val="00E7766C"/>
    <w:rsid w:val="00F24C88"/>
    <w:rsid w:val="00F25270"/>
    <w:rsid w:val="00F339AB"/>
    <w:rsid w:val="00F61D2C"/>
    <w:rsid w:val="00F70C63"/>
    <w:rsid w:val="00F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B615A-48F4-49FE-BD8F-13D62A9F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kern w:val="0"/>
      <w:sz w:val="20"/>
    </w:rPr>
  </w:style>
  <w:style w:type="character" w:styleId="a5">
    <w:name w:val="page number"/>
    <w:rPr>
      <w:rFonts w:cs="Times New Roman"/>
    </w:rPr>
  </w:style>
  <w:style w:type="paragraph" w:customStyle="1" w:styleId="1">
    <w:name w:val="無間距1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10">
    <w:name w:val="清單段落1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</w:rPr>
  </w:style>
  <w:style w:type="paragraph" w:styleId="a8">
    <w:name w:val="Balloon Text"/>
    <w:basedOn w:val="a"/>
    <w:rPr>
      <w:rFonts w:ascii="Calibri Light" w:hAnsi="Calibri Light"/>
      <w:kern w:val="0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sz w:val="18"/>
    </w:rPr>
  </w:style>
  <w:style w:type="paragraph" w:styleId="aa">
    <w:name w:val="List Paragraph"/>
    <w:basedOn w:val="a"/>
    <w:pPr>
      <w:ind w:left="480"/>
    </w:pPr>
  </w:style>
  <w:style w:type="paragraph" w:styleId="ab">
    <w:name w:val="Plain Text"/>
    <w:basedOn w:val="a"/>
    <w:rPr>
      <w:rFonts w:ascii="Calibri" w:hAnsi="Calibri" w:cs="Courier New"/>
      <w:szCs w:val="22"/>
    </w:rPr>
  </w:style>
  <w:style w:type="character" w:customStyle="1" w:styleId="ac">
    <w:name w:val="純文字 字元"/>
    <w:rPr>
      <w:rFonts w:cs="Courier New"/>
    </w:rPr>
  </w:style>
  <w:style w:type="paragraph" w:customStyle="1" w:styleId="ad">
    <w:name w:val="節"/>
    <w:basedOn w:val="a"/>
    <w:pPr>
      <w:suppressAutoHyphens w:val="0"/>
      <w:spacing w:after="120" w:line="440" w:lineRule="exact"/>
      <w:jc w:val="center"/>
      <w:textAlignment w:val="auto"/>
    </w:pPr>
    <w:rPr>
      <w:rFonts w:ascii="標楷體" w:eastAsia="標楷體" w:hAnsi="標楷體"/>
      <w:b/>
      <w:color w:val="000000"/>
      <w:sz w:val="32"/>
      <w:szCs w:val="32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rFonts w:ascii="Times New Roman" w:hAnsi="Times New Roman"/>
      <w:b/>
      <w:bCs/>
      <w:kern w:val="3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C6D5D"/>
  </w:style>
  <w:style w:type="paragraph" w:customStyle="1" w:styleId="Default">
    <w:name w:val="Default"/>
    <w:rsid w:val="00F25270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A4B5-C795-49B4-9B4A-871D11B1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「行政院及所屬各機關(構)、學校風險管理(含內部控制)及危機處理作業原則草案總說明」</dc:title>
  <dc:subject/>
  <dc:creator>莊千慧</dc:creator>
  <dc:description/>
  <cp:lastModifiedBy>user</cp:lastModifiedBy>
  <cp:revision>3</cp:revision>
  <cp:lastPrinted>2021-06-25T09:13:00Z</cp:lastPrinted>
  <dcterms:created xsi:type="dcterms:W3CDTF">2022-02-11T06:28:00Z</dcterms:created>
  <dcterms:modified xsi:type="dcterms:W3CDTF">2022-02-11T06:31:00Z</dcterms:modified>
</cp:coreProperties>
</file>